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840" w:lineRule="atLeast"/>
        <w:jc w:val="center"/>
        <w:outlineLvl w:val="1"/>
        <w:rPr>
          <w:rFonts w:hint="eastAsia" w:ascii="仿宋" w:hAnsi="仿宋" w:eastAsia="仿宋" w:cs="宋体"/>
          <w:kern w:val="0"/>
          <w:sz w:val="32"/>
          <w:szCs w:val="32"/>
        </w:rPr>
      </w:pPr>
    </w:p>
    <w:p>
      <w:pPr>
        <w:widowControl/>
        <w:shd w:val="clear" w:color="auto" w:fill="FFFFFF"/>
        <w:spacing w:line="840" w:lineRule="atLeast"/>
        <w:jc w:val="center"/>
        <w:outlineLvl w:val="1"/>
        <w:rPr>
          <w:rFonts w:hint="eastAsia" w:ascii="仿宋" w:hAnsi="仿宋" w:eastAsia="仿宋" w:cs="宋体"/>
          <w:kern w:val="0"/>
          <w:sz w:val="32"/>
          <w:szCs w:val="32"/>
        </w:rPr>
      </w:pPr>
    </w:p>
    <w:p>
      <w:pPr>
        <w:widowControl/>
        <w:shd w:val="clear" w:color="auto" w:fill="FFFFFF"/>
        <w:spacing w:line="840" w:lineRule="atLeast"/>
        <w:jc w:val="center"/>
        <w:outlineLvl w:val="1"/>
        <w:rPr>
          <w:rFonts w:hint="eastAsia" w:ascii="仿宋" w:hAnsi="仿宋" w:eastAsia="仿宋" w:cs="宋体"/>
          <w:kern w:val="0"/>
          <w:sz w:val="32"/>
          <w:szCs w:val="32"/>
        </w:rPr>
      </w:pPr>
    </w:p>
    <w:p>
      <w:pPr>
        <w:widowControl/>
        <w:shd w:val="clear" w:color="auto" w:fill="FFFFFF"/>
        <w:spacing w:line="840" w:lineRule="atLeast"/>
        <w:jc w:val="center"/>
        <w:outlineLvl w:val="1"/>
        <w:rPr>
          <w:rFonts w:hint="eastAsia" w:ascii="仿宋" w:hAnsi="仿宋" w:eastAsia="仿宋" w:cs="宋体"/>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940" w:lineRule="exact"/>
        <w:ind w:left="0" w:leftChars="0" w:right="0" w:rightChars="0" w:firstLine="0" w:firstLineChars="0"/>
        <w:jc w:val="center"/>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川审改办[2017]</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号</w:t>
      </w:r>
    </w:p>
    <w:p>
      <w:pPr>
        <w:keepNext w:val="0"/>
        <w:keepLines w:val="0"/>
        <w:pageBreakBefore w:val="0"/>
        <w:widowControl/>
        <w:shd w:val="clear" w:color="auto" w:fill="FFFFFF"/>
        <w:kinsoku/>
        <w:wordWrap/>
        <w:overflowPunct/>
        <w:topLinePunct w:val="0"/>
        <w:autoSpaceDE/>
        <w:autoSpaceDN/>
        <w:bidi w:val="0"/>
        <w:adjustRightInd/>
        <w:snapToGrid/>
        <w:spacing w:line="940" w:lineRule="exact"/>
        <w:ind w:left="0" w:leftChars="0" w:right="0" w:rightChars="0" w:firstLine="0" w:firstLineChars="0"/>
        <w:jc w:val="center"/>
        <w:textAlignment w:val="auto"/>
        <w:outlineLvl w:val="1"/>
        <w:rPr>
          <w:rFonts w:ascii="仿宋" w:hAnsi="仿宋" w:eastAsia="仿宋" w:cs="宋体"/>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1"/>
        <w:rPr>
          <w:rFonts w:hint="eastAsia" w:ascii="方正大标宋简体" w:hAnsi="方正大标宋简体" w:eastAsia="方正大标宋简体" w:cs="方正大标宋简体"/>
          <w:w w:val="90"/>
          <w:kern w:val="0"/>
          <w:sz w:val="44"/>
          <w:szCs w:val="44"/>
        </w:rPr>
      </w:pPr>
      <w:r>
        <w:rPr>
          <w:rFonts w:hint="eastAsia" w:ascii="方正大标宋简体" w:hAnsi="方正大标宋简体" w:eastAsia="方正大标宋简体" w:cs="方正大标宋简体"/>
          <w:w w:val="90"/>
          <w:kern w:val="0"/>
          <w:sz w:val="44"/>
          <w:szCs w:val="44"/>
        </w:rPr>
        <w:t>周口市川汇区行政审批制度改革领导小组办公室关于印发周口市川汇区工业和信息化委员会权责清单动态调整（行政职权运行流程图）的通知</w:t>
      </w:r>
    </w:p>
    <w:p>
      <w:pPr>
        <w:keepNext w:val="0"/>
        <w:keepLines w:val="0"/>
        <w:pageBreakBefore w:val="0"/>
        <w:widowControl/>
        <w:shd w:val="clear"/>
        <w:kinsoku/>
        <w:wordWrap/>
        <w:overflowPunct/>
        <w:topLinePunct w:val="0"/>
        <w:autoSpaceDE/>
        <w:autoSpaceDN/>
        <w:bidi w:val="0"/>
        <w:adjustRightInd/>
        <w:snapToGrid w:val="0"/>
        <w:spacing w:line="560" w:lineRule="exact"/>
        <w:ind w:right="0" w:rightChars="0"/>
        <w:jc w:val="both"/>
        <w:textAlignment w:val="auto"/>
        <w:outlineLvl w:val="9"/>
        <w:rPr>
          <w:rFonts w:hint="eastAsia" w:ascii="仿宋_GB2312" w:hAnsi="仿宋_GB2312" w:eastAsia="仿宋_GB2312" w:cs="仿宋_GB2312"/>
          <w:kern w:val="0"/>
          <w:sz w:val="32"/>
          <w:szCs w:val="32"/>
        </w:rPr>
      </w:pPr>
    </w:p>
    <w:p>
      <w:pPr>
        <w:keepNext w:val="0"/>
        <w:keepLines w:val="0"/>
        <w:pageBreakBefore w:val="0"/>
        <w:widowControl/>
        <w:shd w:val="clear"/>
        <w:kinsoku/>
        <w:wordWrap/>
        <w:overflowPunct/>
        <w:topLinePunct w:val="0"/>
        <w:autoSpaceDE/>
        <w:autoSpaceDN/>
        <w:bidi w:val="0"/>
        <w:adjustRightInd/>
        <w:snapToGrid w:val="0"/>
        <w:spacing w:line="540" w:lineRule="exact"/>
        <w:ind w:left="0" w:leftChars="0" w:right="0" w:rightChars="0"/>
        <w:jc w:val="both"/>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区工业和信息化委员会：</w:t>
      </w:r>
      <w:r>
        <w:rPr>
          <w:rFonts w:hint="eastAsia" w:ascii="仿宋" w:hAnsi="仿宋" w:eastAsia="仿宋" w:cs="宋体"/>
          <w:kern w:val="0"/>
          <w:sz w:val="32"/>
          <w:szCs w:val="32"/>
        </w:rPr>
        <w:br w:type="textWrapping"/>
      </w:r>
      <w:r>
        <w:rPr>
          <w:rFonts w:ascii="Calibri" w:hAnsi="Calibri" w:eastAsia="仿宋" w:cs="Calibri"/>
          <w:kern w:val="0"/>
          <w:sz w:val="32"/>
          <w:szCs w:val="32"/>
        </w:rPr>
        <w:t xml:space="preserve">    </w:t>
      </w:r>
      <w:r>
        <w:rPr>
          <w:rFonts w:hint="eastAsia" w:ascii="Calibri" w:hAnsi="Calibri" w:eastAsia="仿宋" w:cs="Calibri"/>
          <w:kern w:val="0"/>
          <w:sz w:val="32"/>
          <w:szCs w:val="32"/>
          <w:lang w:val="en-US" w:eastAsia="zh-CN"/>
        </w:rPr>
        <w:t xml:space="preserve"> </w:t>
      </w:r>
      <w:r>
        <w:rPr>
          <w:rFonts w:hint="eastAsia" w:ascii="仿宋_GB2312" w:hAnsi="仿宋_GB2312" w:eastAsia="仿宋_GB2312" w:cs="仿宋_GB2312"/>
          <w:kern w:val="0"/>
          <w:sz w:val="32"/>
          <w:szCs w:val="32"/>
        </w:rPr>
        <w:t>按照《周口市行政审批制度改革领导小组办公室关于做好权责清单动态调整工作的通知》（周审改办〔2017〕1号）和《</w:t>
      </w:r>
      <w:r>
        <w:rPr>
          <w:rFonts w:hint="eastAsia" w:ascii="仿宋_GB2312" w:hAnsi="仿宋_GB2312" w:eastAsia="仿宋_GB2312" w:cs="仿宋_GB2312"/>
          <w:bCs/>
          <w:color w:val="000000"/>
          <w:kern w:val="0"/>
          <w:sz w:val="32"/>
          <w:szCs w:val="32"/>
        </w:rPr>
        <w:t>周口市川汇区人民政府办公室关于印发川汇区政府权力清单和责任清单运行与监督动态管理暂行办法的通知</w:t>
      </w:r>
      <w:r>
        <w:rPr>
          <w:rFonts w:hint="eastAsia" w:ascii="仿宋_GB2312" w:hAnsi="仿宋_GB2312" w:eastAsia="仿宋_GB2312" w:cs="仿宋_GB2312"/>
          <w:kern w:val="0"/>
          <w:sz w:val="32"/>
          <w:szCs w:val="32"/>
        </w:rPr>
        <w:t>》要求，</w:t>
      </w:r>
      <w:r>
        <w:rPr>
          <w:rFonts w:hint="eastAsia" w:ascii="仿宋_GB2312" w:hAnsi="仿宋_GB2312" w:eastAsia="仿宋_GB2312" w:cs="仿宋_GB2312"/>
          <w:kern w:val="0"/>
          <w:sz w:val="32"/>
          <w:szCs w:val="32"/>
          <w:lang w:eastAsia="zh-CN"/>
        </w:rPr>
        <w:t>为进一步</w:t>
      </w:r>
      <w:r>
        <w:rPr>
          <w:rFonts w:hint="eastAsia" w:ascii="仿宋_GB2312" w:hAnsi="仿宋_GB2312" w:eastAsia="仿宋_GB2312" w:cs="仿宋_GB2312"/>
          <w:kern w:val="0"/>
          <w:sz w:val="32"/>
          <w:szCs w:val="32"/>
        </w:rPr>
        <w:t>完善权责清单动态调整管理更新机制和制度体系，以2015年制定公布的</w:t>
      </w:r>
      <w:r>
        <w:rPr>
          <w:rFonts w:hint="eastAsia" w:ascii="仿宋_GB2312" w:hAnsi="仿宋_GB2312" w:eastAsia="仿宋_GB2312" w:cs="仿宋_GB2312"/>
          <w:kern w:val="0"/>
          <w:sz w:val="32"/>
          <w:szCs w:val="32"/>
          <w:lang w:eastAsia="zh-CN"/>
        </w:rPr>
        <w:t>区</w:t>
      </w:r>
      <w:r>
        <w:rPr>
          <w:rFonts w:hint="eastAsia" w:ascii="仿宋_GB2312" w:hAnsi="仿宋_GB2312" w:eastAsia="仿宋_GB2312" w:cs="仿宋_GB2312"/>
          <w:kern w:val="0"/>
          <w:sz w:val="32"/>
          <w:szCs w:val="32"/>
        </w:rPr>
        <w:t>政府部门和行使行政职能的事业单位26个权责清单为基础，截止2017年6月底因单位职能调整</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法律法规立改废释等原因，动态调整权责清单。具体涉及承接《周口市人民政府关于取消和保留行政审批事项的决定》（周政〔2016〕37号）、《国务院关于第三批取消中央指定地方实施行政许可事项的决定》（国发〔2017〕7号）、《河南省人民政府关于取消和调整一批省政府工作部门行政职权事项的决定》（豫政〔2016〕78号）和(国务院令676号)文件，打造权责清单“升级版”。</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经你单位集中各股室梳理调整完善自查自报，填报人加班加点认真汇总，以及单位主要负责人履行签字和签章程序</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在此基础上，又经区审改组成员单位集中审核，反复反馈修改意见，几易其稿，付出艰辛劳动，最终制定了周口市川汇区</w:t>
      </w:r>
      <w:r>
        <w:rPr>
          <w:rFonts w:hint="eastAsia" w:ascii="仿宋_GB2312" w:hAnsi="仿宋_GB2312" w:eastAsia="仿宋_GB2312" w:cs="仿宋_GB2312"/>
          <w:kern w:val="0"/>
          <w:sz w:val="32"/>
          <w:szCs w:val="32"/>
          <w:lang w:eastAsia="zh-CN"/>
        </w:rPr>
        <w:t>工业和信息化委员会</w:t>
      </w:r>
      <w:r>
        <w:rPr>
          <w:rFonts w:hint="eastAsia" w:ascii="仿宋_GB2312" w:hAnsi="仿宋_GB2312" w:eastAsia="仿宋_GB2312" w:cs="仿宋_GB2312"/>
          <w:kern w:val="0"/>
          <w:sz w:val="32"/>
          <w:szCs w:val="32"/>
        </w:rPr>
        <w:t>动态调整权责清单（行政职权运行流程图）。对权责清单（行政职权运行流程图）未列入但应由本部门履行的管理职责，要切实负起责任。因法律法规立改废释、机构改革和职能调整等需要调整权责清单的，按程序办理。请你单位在本通知印发后15个工作日内，将本通知及其附件一并在本部门网站公开，接受社会监督。 </w:t>
      </w:r>
    </w:p>
    <w:p>
      <w:pPr>
        <w:keepNext w:val="0"/>
        <w:keepLines w:val="0"/>
        <w:pageBreakBefore w:val="0"/>
        <w:widowControl/>
        <w:shd w:val="clear" w:color="auto" w:fill="FFFFFF"/>
        <w:kinsoku/>
        <w:wordWrap/>
        <w:overflowPunct/>
        <w:topLinePunct w:val="0"/>
        <w:autoSpaceDE/>
        <w:autoSpaceDN/>
        <w:bidi w:val="0"/>
        <w:adjustRightInd/>
        <w:spacing w:line="540" w:lineRule="exact"/>
        <w:ind w:left="0" w:leftChars="0" w:right="0" w:rightChars="0" w:firstLine="48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w:t>
      </w:r>
    </w:p>
    <w:p>
      <w:pPr>
        <w:keepNext w:val="0"/>
        <w:keepLines w:val="0"/>
        <w:pageBreakBefore w:val="0"/>
        <w:widowControl/>
        <w:shd w:val="clear" w:color="auto" w:fill="FFFFFF"/>
        <w:kinsoku/>
        <w:wordWrap/>
        <w:overflowPunct/>
        <w:topLinePunct w:val="0"/>
        <w:autoSpaceDE/>
        <w:autoSpaceDN/>
        <w:bidi w:val="0"/>
        <w:adjustRightInd/>
        <w:spacing w:line="540" w:lineRule="exact"/>
        <w:ind w:left="0" w:leftChars="0" w:right="0" w:rightChars="0" w:firstLine="48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 周口市川汇区</w:t>
      </w:r>
      <w:r>
        <w:rPr>
          <w:rFonts w:hint="eastAsia" w:ascii="仿宋_GB2312" w:hAnsi="仿宋_GB2312" w:eastAsia="仿宋_GB2312" w:cs="仿宋_GB2312"/>
          <w:kern w:val="0"/>
          <w:sz w:val="32"/>
          <w:szCs w:val="32"/>
          <w:lang w:eastAsia="zh-CN"/>
        </w:rPr>
        <w:t>工业和信息化委员会</w:t>
      </w:r>
      <w:r>
        <w:rPr>
          <w:rFonts w:hint="eastAsia" w:ascii="仿宋_GB2312" w:hAnsi="仿宋_GB2312" w:eastAsia="仿宋_GB2312" w:cs="仿宋_GB2312"/>
          <w:kern w:val="0"/>
          <w:sz w:val="32"/>
          <w:szCs w:val="32"/>
        </w:rPr>
        <w:t>权责清单动态调整目录</w:t>
      </w:r>
    </w:p>
    <w:p>
      <w:pPr>
        <w:keepNext w:val="0"/>
        <w:keepLines w:val="0"/>
        <w:pageBreakBefore w:val="0"/>
        <w:widowControl/>
        <w:shd w:val="clear" w:color="auto" w:fill="FFFFFF"/>
        <w:kinsoku/>
        <w:wordWrap/>
        <w:overflowPunct/>
        <w:topLinePunct w:val="0"/>
        <w:autoSpaceDE/>
        <w:autoSpaceDN/>
        <w:bidi w:val="0"/>
        <w:adjustRightInd/>
        <w:spacing w:line="540" w:lineRule="exact"/>
        <w:ind w:left="0" w:leftChars="0" w:right="0" w:rightChars="0" w:firstLine="48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 周口市川汇区</w:t>
      </w:r>
      <w:r>
        <w:rPr>
          <w:rFonts w:hint="eastAsia" w:ascii="仿宋_GB2312" w:hAnsi="仿宋_GB2312" w:eastAsia="仿宋_GB2312" w:cs="仿宋_GB2312"/>
          <w:kern w:val="0"/>
          <w:sz w:val="32"/>
          <w:szCs w:val="32"/>
          <w:lang w:eastAsia="zh-CN"/>
        </w:rPr>
        <w:t>工业和信息化委员会</w:t>
      </w:r>
      <w:r>
        <w:rPr>
          <w:rFonts w:hint="eastAsia" w:ascii="仿宋_GB2312" w:hAnsi="仿宋_GB2312" w:eastAsia="仿宋_GB2312" w:cs="仿宋_GB2312"/>
          <w:kern w:val="0"/>
          <w:sz w:val="32"/>
          <w:szCs w:val="32"/>
        </w:rPr>
        <w:t>权责清单动态调整意见表</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ind w:left="0" w:leftChars="0" w:right="0" w:rightChars="0" w:firstLine="480"/>
        <w:textAlignment w:val="auto"/>
        <w:rPr>
          <w:rFonts w:hint="eastAsia" w:ascii="仿宋_GB2312" w:hAnsi="仿宋_GB2312" w:eastAsia="仿宋_GB2312" w:cs="仿宋_GB2312"/>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ind w:left="0" w:leftChars="0" w:right="0" w:rightChars="0" w:firstLine="480"/>
        <w:textAlignment w:val="auto"/>
        <w:rPr>
          <w:rFonts w:hint="eastAsia" w:ascii="仿宋_GB2312" w:hAnsi="仿宋_GB2312" w:eastAsia="仿宋_GB2312" w:cs="仿宋_GB2312"/>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ind w:left="0" w:leftChars="0" w:right="0" w:rightChars="0" w:firstLine="480"/>
        <w:jc w:val="righ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周口市</w:t>
      </w:r>
      <w:bookmarkStart w:id="0" w:name="_GoBack"/>
      <w:bookmarkEnd w:id="0"/>
      <w:r>
        <w:rPr>
          <w:rFonts w:hint="eastAsia" w:ascii="仿宋_GB2312" w:hAnsi="仿宋_GB2312" w:eastAsia="仿宋_GB2312" w:cs="仿宋_GB2312"/>
          <w:kern w:val="0"/>
          <w:sz w:val="32"/>
          <w:szCs w:val="32"/>
          <w:lang w:eastAsia="zh-CN"/>
        </w:rPr>
        <w:t>川汇区行政审批制度改革领导小组办公室</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ind w:left="0" w:leftChars="0" w:right="0" w:rightChars="0" w:firstLine="480"/>
        <w:jc w:val="center"/>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         2017年7月28日</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ind w:left="0" w:leftChars="0" w:right="0" w:rightChars="0" w:firstLine="480"/>
        <w:jc w:val="center"/>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ind w:left="0" w:leftChars="0" w:right="0" w:rightChars="0" w:firstLine="480"/>
        <w:jc w:val="center"/>
        <w:textAlignment w:val="auto"/>
        <w:rPr>
          <w:rFonts w:hint="eastAsia" w:ascii="仿宋_GB2312" w:hAnsi="仿宋_GB2312" w:eastAsia="仿宋_GB2312" w:cs="仿宋_GB2312"/>
          <w:kern w:val="0"/>
          <w:sz w:val="32"/>
          <w:szCs w:val="32"/>
          <w:lang w:val="en-US" w:eastAsia="zh-CN"/>
        </w:rPr>
      </w:pPr>
    </w:p>
    <w:p>
      <w:pPr>
        <w:spacing w:line="560" w:lineRule="exact"/>
        <w:rPr>
          <w:rFonts w:hint="eastAsia" w:ascii="方正小标宋简体" w:hAnsi="方正小标宋简体" w:eastAsia="方正小标宋简体" w:cs="方正小标宋简体"/>
          <w:sz w:val="44"/>
          <w:szCs w:val="44"/>
        </w:rPr>
      </w:pPr>
      <w:r>
        <w:rPr>
          <w:rFonts w:hint="eastAsia" w:ascii="黑体" w:hAnsi="宋体" w:eastAsia="黑体" w:cs="宋体"/>
          <w:kern w:val="0"/>
          <w:sz w:val="32"/>
          <w:szCs w:val="32"/>
        </w:rPr>
        <w:t>附件1</w:t>
      </w: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周口市川汇区工业和信息化委员会</w:t>
      </w: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行政职权目录</w:t>
      </w:r>
    </w:p>
    <w:p>
      <w:pPr>
        <w:spacing w:line="560" w:lineRule="exact"/>
        <w:jc w:val="cente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（共</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项）</w:t>
      </w:r>
    </w:p>
    <w:p>
      <w:pPr>
        <w:spacing w:line="560" w:lineRule="exact"/>
        <w:jc w:val="distribute"/>
        <w:rPr>
          <w:rFonts w:hint="eastAsia" w:ascii="楷体_GB2312" w:hAnsi="楷体_GB2312" w:eastAsia="楷体_GB2312" w:cs="楷体_GB2312"/>
          <w:sz w:val="32"/>
          <w:szCs w:val="32"/>
        </w:rPr>
      </w:pPr>
    </w:p>
    <w:p>
      <w:pPr>
        <w:spacing w:line="56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一、行政许可（0项）</w:t>
      </w:r>
    </w:p>
    <w:p>
      <w:pPr>
        <w:spacing w:line="56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二、行政处罚（0项）</w:t>
      </w:r>
    </w:p>
    <w:p>
      <w:pPr>
        <w:spacing w:line="56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三、行政强制（0项）</w:t>
      </w:r>
    </w:p>
    <w:p>
      <w:pPr>
        <w:spacing w:line="56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四、行政征收（0项）</w:t>
      </w:r>
    </w:p>
    <w:p>
      <w:pPr>
        <w:spacing w:line="56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五、行政给付（0项）</w:t>
      </w:r>
    </w:p>
    <w:p>
      <w:pPr>
        <w:spacing w:line="56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六、行政检查（0项）</w:t>
      </w:r>
    </w:p>
    <w:p>
      <w:pPr>
        <w:spacing w:line="56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七、行政确认（0项）</w:t>
      </w:r>
    </w:p>
    <w:p>
      <w:pPr>
        <w:spacing w:line="56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八、其他职权（</w:t>
      </w:r>
      <w:r>
        <w:rPr>
          <w:rFonts w:hint="eastAsia" w:ascii="黑体" w:hAnsi="黑体" w:eastAsia="黑体" w:cs="黑体"/>
          <w:sz w:val="32"/>
          <w:szCs w:val="32"/>
          <w:lang w:val="en-US" w:eastAsia="zh-CN"/>
        </w:rPr>
        <w:t>0</w:t>
      </w:r>
      <w:r>
        <w:rPr>
          <w:rFonts w:hint="eastAsia" w:ascii="黑体" w:hAnsi="黑体" w:eastAsia="黑体" w:cs="黑体"/>
          <w:sz w:val="32"/>
          <w:szCs w:val="32"/>
        </w:rPr>
        <w:t>项）</w:t>
      </w:r>
    </w:p>
    <w:p>
      <w:pPr>
        <w:spacing w:line="560" w:lineRule="exact"/>
        <w:ind w:firstLine="640" w:firstLineChars="200"/>
        <w:jc w:val="left"/>
        <w:rPr>
          <w:rFonts w:hint="eastAsia" w:ascii="黑体" w:hAnsi="黑体" w:eastAsia="黑体" w:cs="黑体"/>
          <w:sz w:val="32"/>
          <w:szCs w:val="32"/>
        </w:rPr>
      </w:pPr>
    </w:p>
    <w:p>
      <w:pPr>
        <w:spacing w:line="560" w:lineRule="exact"/>
        <w:ind w:firstLine="640" w:firstLineChars="200"/>
        <w:jc w:val="left"/>
        <w:rPr>
          <w:rFonts w:hint="eastAsia" w:ascii="黑体" w:hAnsi="黑体" w:eastAsia="黑体" w:cs="黑体"/>
          <w:sz w:val="32"/>
          <w:szCs w:val="32"/>
        </w:rPr>
      </w:pPr>
    </w:p>
    <w:p>
      <w:pPr>
        <w:spacing w:line="560" w:lineRule="exact"/>
        <w:ind w:firstLine="640" w:firstLineChars="200"/>
        <w:jc w:val="left"/>
        <w:rPr>
          <w:rFonts w:hint="eastAsia" w:ascii="黑体" w:hAnsi="黑体" w:eastAsia="黑体" w:cs="黑体"/>
          <w:sz w:val="32"/>
          <w:szCs w:val="32"/>
        </w:rPr>
      </w:pPr>
    </w:p>
    <w:p>
      <w:pPr>
        <w:sectPr>
          <w:headerReference r:id="rId3" w:type="default"/>
          <w:footerReference r:id="rId4" w:type="default"/>
          <w:pgSz w:w="11906" w:h="16838"/>
          <w:pgMar w:top="1440" w:right="1800" w:bottom="1440" w:left="1800" w:header="851" w:footer="992" w:gutter="0"/>
          <w:cols w:space="425" w:num="1"/>
          <w:docGrid w:type="lines" w:linePitch="312" w:charSpace="0"/>
        </w:sectPr>
      </w:pPr>
    </w:p>
    <w:tbl>
      <w:tblPr>
        <w:tblStyle w:val="5"/>
        <w:tblW w:w="16020" w:type="dxa"/>
        <w:tblInd w:w="-698" w:type="dxa"/>
        <w:tblLayout w:type="fixed"/>
        <w:tblCellMar>
          <w:top w:w="0" w:type="dxa"/>
          <w:left w:w="108" w:type="dxa"/>
          <w:bottom w:w="0" w:type="dxa"/>
          <w:right w:w="108" w:type="dxa"/>
        </w:tblCellMar>
      </w:tblPr>
      <w:tblGrid>
        <w:gridCol w:w="716"/>
        <w:gridCol w:w="948"/>
        <w:gridCol w:w="644"/>
        <w:gridCol w:w="2822"/>
        <w:gridCol w:w="1440"/>
        <w:gridCol w:w="1170"/>
        <w:gridCol w:w="1858"/>
        <w:gridCol w:w="1650"/>
        <w:gridCol w:w="3878"/>
        <w:gridCol w:w="754"/>
        <w:gridCol w:w="140"/>
      </w:tblGrid>
      <w:tr>
        <w:tblPrEx>
          <w:tblLayout w:type="fixed"/>
          <w:tblCellMar>
            <w:top w:w="0" w:type="dxa"/>
            <w:left w:w="108" w:type="dxa"/>
            <w:bottom w:w="0" w:type="dxa"/>
            <w:right w:w="108" w:type="dxa"/>
          </w:tblCellMar>
        </w:tblPrEx>
        <w:trPr>
          <w:trHeight w:val="839" w:hRule="atLeast"/>
        </w:trPr>
        <w:tc>
          <w:tcPr>
            <w:tcW w:w="16020" w:type="dxa"/>
            <w:gridSpan w:val="11"/>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2</w:t>
            </w:r>
          </w:p>
          <w:p>
            <w:pPr>
              <w:keepNext w:val="0"/>
              <w:keepLines w:val="0"/>
              <w:pageBreakBefore w:val="0"/>
              <w:widowControl/>
              <w:kinsoku/>
              <w:wordWrap/>
              <w:overflowPunct/>
              <w:topLinePunct w:val="0"/>
              <w:autoSpaceDE/>
              <w:autoSpaceDN/>
              <w:bidi w:val="0"/>
              <w:adjustRightInd/>
              <w:snapToGrid/>
              <w:spacing w:line="460" w:lineRule="exact"/>
              <w:ind w:left="0" w:leftChars="0" w:right="0" w:rightChars="0" w:firstLine="0" w:firstLineChars="0"/>
              <w:jc w:val="center"/>
              <w:textAlignment w:val="auto"/>
              <w:outlineLvl w:val="9"/>
            </w:pPr>
            <w:r>
              <w:rPr>
                <w:rFonts w:hint="eastAsia" w:ascii="方正小标宋简体" w:hAnsi="方正小标宋简体" w:eastAsia="方正小标宋简体" w:cs="方正小标宋简体"/>
                <w:sz w:val="44"/>
                <w:szCs w:val="44"/>
              </w:rPr>
              <w:t>周口市</w:t>
            </w:r>
            <w:r>
              <w:rPr>
                <w:rFonts w:hint="eastAsia" w:ascii="方正小标宋简体" w:hAnsi="方正小标宋简体" w:eastAsia="方正小标宋简体" w:cs="方正小标宋简体"/>
                <w:sz w:val="44"/>
                <w:szCs w:val="44"/>
                <w:lang w:val="en-US" w:eastAsia="zh-CN"/>
              </w:rPr>
              <w:t>川汇区工业和信息化委员会</w:t>
            </w:r>
            <w:r>
              <w:rPr>
                <w:rFonts w:hint="eastAsia" w:ascii="方正小标宋简体" w:hAnsi="方正小标宋简体" w:eastAsia="方正小标宋简体" w:cs="方正小标宋简体"/>
                <w:sz w:val="44"/>
                <w:szCs w:val="44"/>
              </w:rPr>
              <w:t>权责清单动态调整汇总表</w:t>
            </w:r>
          </w:p>
        </w:tc>
      </w:tr>
      <w:tr>
        <w:tblPrEx>
          <w:tblLayout w:type="fixed"/>
          <w:tblCellMar>
            <w:top w:w="0" w:type="dxa"/>
            <w:left w:w="108" w:type="dxa"/>
            <w:bottom w:w="0" w:type="dxa"/>
            <w:right w:w="108" w:type="dxa"/>
          </w:tblCellMar>
        </w:tblPrEx>
        <w:trPr>
          <w:trHeight w:val="400" w:hRule="atLeast"/>
        </w:trPr>
        <w:tc>
          <w:tcPr>
            <w:tcW w:w="16020" w:type="dxa"/>
            <w:gridSpan w:val="11"/>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60" w:lineRule="exact"/>
              <w:ind w:left="0" w:leftChars="0" w:right="0" w:rightChars="0" w:firstLine="0" w:firstLineChars="0"/>
              <w:textAlignment w:val="auto"/>
              <w:outlineLvl w:val="9"/>
            </w:pPr>
            <w:r>
              <w:rPr>
                <w:rFonts w:hint="eastAsia" w:ascii="宋体" w:hAnsi="宋体" w:cs="宋体"/>
                <w:color w:val="000000"/>
                <w:kern w:val="0"/>
                <w:szCs w:val="21"/>
              </w:rPr>
              <w:t>申请单位（公章）： 周口市</w:t>
            </w:r>
            <w:r>
              <w:rPr>
                <w:rFonts w:hint="eastAsia" w:ascii="宋体" w:hAnsi="宋体" w:cs="宋体"/>
                <w:color w:val="000000"/>
                <w:kern w:val="0"/>
                <w:szCs w:val="21"/>
                <w:lang w:val="en-US" w:eastAsia="zh-CN"/>
              </w:rPr>
              <w:t>川汇区工业和信息化委员会</w:t>
            </w:r>
            <w:r>
              <w:rPr>
                <w:rFonts w:ascii="宋体" w:hAnsi="宋体" w:cs="宋体"/>
                <w:color w:val="000000"/>
                <w:kern w:val="0"/>
                <w:szCs w:val="21"/>
              </w:rPr>
              <w:t xml:space="preserve">                                                                     </w:t>
            </w:r>
          </w:p>
        </w:tc>
      </w:tr>
      <w:tr>
        <w:tblPrEx>
          <w:tblLayout w:type="fixed"/>
          <w:tblCellMar>
            <w:top w:w="0" w:type="dxa"/>
            <w:left w:w="108" w:type="dxa"/>
            <w:bottom w:w="0" w:type="dxa"/>
            <w:right w:w="108" w:type="dxa"/>
          </w:tblCellMar>
        </w:tblPrEx>
        <w:trPr>
          <w:gridAfter w:val="1"/>
          <w:wAfter w:w="140" w:type="dxa"/>
          <w:trHeight w:val="355" w:hRule="atLeast"/>
        </w:trPr>
        <w:tc>
          <w:tcPr>
            <w:tcW w:w="7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pPr>
            <w:r>
              <w:rPr>
                <w:rFonts w:hint="eastAsia" w:ascii="宋体" w:hAnsi="宋体" w:cs="宋体"/>
                <w:color w:val="000000"/>
                <w:kern w:val="0"/>
                <w:szCs w:val="21"/>
              </w:rPr>
              <w:t>序号</w:t>
            </w:r>
          </w:p>
        </w:tc>
        <w:tc>
          <w:tcPr>
            <w:tcW w:w="4414" w:type="dxa"/>
            <w:gridSpan w:val="3"/>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pPr>
            <w:r>
              <w:rPr>
                <w:rFonts w:hint="eastAsia" w:ascii="宋体" w:hAnsi="宋体" w:cs="宋体"/>
                <w:color w:val="000000"/>
                <w:kern w:val="0"/>
                <w:szCs w:val="21"/>
              </w:rPr>
              <w:t>调整前</w:t>
            </w:r>
          </w:p>
        </w:tc>
        <w:tc>
          <w:tcPr>
            <w:tcW w:w="4468" w:type="dxa"/>
            <w:gridSpan w:val="3"/>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宋体" w:cs="宋体"/>
                <w:color w:val="000000"/>
                <w:kern w:val="0"/>
                <w:szCs w:val="21"/>
              </w:rPr>
            </w:pPr>
            <w:r>
              <w:rPr>
                <w:rFonts w:hint="eastAsia" w:ascii="宋体" w:hAnsi="宋体" w:cs="宋体"/>
                <w:color w:val="000000"/>
                <w:kern w:val="0"/>
                <w:szCs w:val="21"/>
              </w:rPr>
              <w:t>调整后</w:t>
            </w:r>
          </w:p>
        </w:tc>
        <w:tc>
          <w:tcPr>
            <w:tcW w:w="5528"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pPr>
            <w:r>
              <w:rPr>
                <w:rFonts w:hint="eastAsia" w:ascii="宋体" w:hAnsi="宋体" w:cs="宋体"/>
                <w:color w:val="000000"/>
                <w:kern w:val="0"/>
                <w:szCs w:val="21"/>
              </w:rPr>
              <w:t>调整类型及依据</w:t>
            </w:r>
          </w:p>
        </w:tc>
        <w:tc>
          <w:tcPr>
            <w:tcW w:w="75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pPr>
            <w:r>
              <w:rPr>
                <w:rFonts w:hint="eastAsia" w:ascii="宋体" w:hAnsi="宋体" w:cs="宋体"/>
                <w:color w:val="000000"/>
                <w:kern w:val="0"/>
                <w:szCs w:val="21"/>
              </w:rPr>
              <w:t>备注</w:t>
            </w:r>
          </w:p>
        </w:tc>
      </w:tr>
      <w:tr>
        <w:tblPrEx>
          <w:tblLayout w:type="fixed"/>
          <w:tblCellMar>
            <w:top w:w="0" w:type="dxa"/>
            <w:left w:w="108" w:type="dxa"/>
            <w:bottom w:w="0" w:type="dxa"/>
            <w:right w:w="108" w:type="dxa"/>
          </w:tblCellMar>
        </w:tblPrEx>
        <w:trPr>
          <w:gridAfter w:val="1"/>
          <w:wAfter w:w="140" w:type="dxa"/>
          <w:trHeight w:val="780" w:hRule="atLeast"/>
        </w:trPr>
        <w:tc>
          <w:tcPr>
            <w:tcW w:w="71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pPr>
          </w:p>
        </w:tc>
        <w:tc>
          <w:tcPr>
            <w:tcW w:w="948"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sz w:val="18"/>
                <w:szCs w:val="18"/>
              </w:rPr>
            </w:pPr>
            <w:r>
              <w:rPr>
                <w:rFonts w:hint="eastAsia" w:ascii="宋体" w:hAnsi="宋体" w:cs="宋体"/>
                <w:color w:val="000000"/>
                <w:kern w:val="0"/>
                <w:sz w:val="18"/>
                <w:szCs w:val="18"/>
              </w:rPr>
              <w:t>权力名称（子项）</w:t>
            </w:r>
          </w:p>
        </w:tc>
        <w:tc>
          <w:tcPr>
            <w:tcW w:w="64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pPr>
            <w:r>
              <w:rPr>
                <w:rFonts w:hint="eastAsia" w:ascii="宋体" w:hAnsi="宋体" w:cs="宋体"/>
                <w:color w:val="000000"/>
                <w:kern w:val="0"/>
                <w:szCs w:val="21"/>
              </w:rPr>
              <w:t>权力类型</w:t>
            </w:r>
          </w:p>
        </w:tc>
        <w:tc>
          <w:tcPr>
            <w:tcW w:w="282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pPr>
            <w:r>
              <w:rPr>
                <w:rFonts w:hint="eastAsia" w:ascii="宋体" w:hAnsi="宋体" w:cs="宋体"/>
                <w:color w:val="000000"/>
                <w:kern w:val="0"/>
                <w:szCs w:val="21"/>
              </w:rPr>
              <w:t>实施依据</w:t>
            </w:r>
          </w:p>
        </w:tc>
        <w:tc>
          <w:tcPr>
            <w:tcW w:w="1440"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sz w:val="18"/>
                <w:szCs w:val="18"/>
              </w:rPr>
            </w:pPr>
            <w:r>
              <w:rPr>
                <w:rFonts w:hint="eastAsia" w:ascii="宋体" w:hAnsi="宋体" w:cs="宋体"/>
                <w:color w:val="000000"/>
                <w:kern w:val="0"/>
                <w:sz w:val="18"/>
                <w:szCs w:val="18"/>
              </w:rPr>
              <w:t>权力名称（子项）</w:t>
            </w:r>
          </w:p>
        </w:tc>
        <w:tc>
          <w:tcPr>
            <w:tcW w:w="117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pPr>
            <w:r>
              <w:rPr>
                <w:rFonts w:hint="eastAsia" w:ascii="宋体" w:hAnsi="宋体" w:cs="宋体"/>
                <w:color w:val="000000"/>
                <w:kern w:val="0"/>
                <w:szCs w:val="21"/>
              </w:rPr>
              <w:t>权力类型</w:t>
            </w:r>
          </w:p>
        </w:tc>
        <w:tc>
          <w:tcPr>
            <w:tcW w:w="185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pPr>
            <w:r>
              <w:rPr>
                <w:rFonts w:hint="eastAsia" w:ascii="宋体" w:hAnsi="宋体" w:cs="宋体"/>
                <w:color w:val="000000"/>
                <w:kern w:val="0"/>
                <w:szCs w:val="21"/>
              </w:rPr>
              <w:t>实施依据</w:t>
            </w:r>
          </w:p>
        </w:tc>
        <w:tc>
          <w:tcPr>
            <w:tcW w:w="1650"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pPr>
            <w:r>
              <w:rPr>
                <w:rFonts w:hint="eastAsia" w:ascii="宋体" w:hAnsi="宋体" w:cs="宋体"/>
                <w:color w:val="000000"/>
                <w:kern w:val="0"/>
                <w:szCs w:val="21"/>
              </w:rPr>
              <w:t>调整类型</w:t>
            </w:r>
          </w:p>
        </w:tc>
        <w:tc>
          <w:tcPr>
            <w:tcW w:w="3878"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pPr>
            <w:r>
              <w:rPr>
                <w:rFonts w:hint="eastAsia" w:ascii="宋体" w:hAnsi="宋体" w:cs="宋体"/>
                <w:color w:val="000000"/>
                <w:kern w:val="0"/>
                <w:szCs w:val="21"/>
              </w:rPr>
              <w:t>调整理由</w:t>
            </w:r>
          </w:p>
        </w:tc>
        <w:tc>
          <w:tcPr>
            <w:tcW w:w="75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pPr>
            <w:r>
              <w:rPr>
                <w:rFonts w:ascii="宋体" w:hAnsi="宋体" w:cs="宋体"/>
                <w:color w:val="000000"/>
                <w:kern w:val="0"/>
                <w:szCs w:val="21"/>
              </w:rPr>
              <w:t xml:space="preserve"> </w:t>
            </w:r>
          </w:p>
        </w:tc>
      </w:tr>
      <w:tr>
        <w:tblPrEx>
          <w:tblLayout w:type="fixed"/>
          <w:tblCellMar>
            <w:top w:w="0" w:type="dxa"/>
            <w:left w:w="108" w:type="dxa"/>
            <w:bottom w:w="0" w:type="dxa"/>
            <w:right w:w="108" w:type="dxa"/>
          </w:tblCellMar>
        </w:tblPrEx>
        <w:trPr>
          <w:gridAfter w:val="1"/>
          <w:wAfter w:w="140" w:type="dxa"/>
          <w:trHeight w:val="4730" w:hRule="atLeast"/>
        </w:trPr>
        <w:tc>
          <w:tcPr>
            <w:tcW w:w="716" w:type="dxa"/>
            <w:tcBorders>
              <w:top w:val="nil"/>
              <w:left w:val="single" w:color="auto" w:sz="4" w:space="0"/>
              <w:bottom w:val="single" w:color="auto" w:sz="4" w:space="0"/>
              <w:right w:val="single" w:color="auto" w:sz="4" w:space="0"/>
            </w:tcBorders>
            <w:vAlign w:val="center"/>
          </w:tcPr>
          <w:p>
            <w:pPr>
              <w:widowControl/>
              <w:spacing w:line="540" w:lineRule="exact"/>
              <w:jc w:val="center"/>
              <w:rPr>
                <w:rFonts w:ascii="宋体" w:cs="宋体"/>
                <w:color w:val="000000"/>
                <w:kern w:val="0"/>
                <w:szCs w:val="21"/>
              </w:rPr>
            </w:pPr>
            <w:r>
              <w:rPr>
                <w:rFonts w:ascii="宋体" w:hAnsi="宋体" w:cs="宋体"/>
                <w:color w:val="000000"/>
                <w:kern w:val="0"/>
                <w:szCs w:val="21"/>
              </w:rPr>
              <w:t>1</w:t>
            </w:r>
          </w:p>
        </w:tc>
        <w:tc>
          <w:tcPr>
            <w:tcW w:w="948" w:type="dxa"/>
            <w:tcBorders>
              <w:top w:val="single" w:color="auto" w:sz="4" w:space="0"/>
              <w:left w:val="nil"/>
              <w:bottom w:val="single" w:color="auto" w:sz="4" w:space="0"/>
              <w:right w:val="single" w:color="auto" w:sz="4" w:space="0"/>
            </w:tcBorders>
            <w:vAlign w:val="center"/>
          </w:tcPr>
          <w:p>
            <w:pPr>
              <w:spacing w:line="240" w:lineRule="exact"/>
              <w:rPr>
                <w:rFonts w:hint="eastAsia" w:ascii="宋体" w:eastAsia="宋体" w:cs="宋体"/>
                <w:color w:val="000000"/>
                <w:kern w:val="0"/>
                <w:szCs w:val="21"/>
                <w:lang w:val="en-US" w:eastAsia="zh-CN"/>
              </w:rPr>
            </w:pPr>
            <w:r>
              <w:rPr>
                <w:rFonts w:hint="eastAsia" w:ascii="宋体" w:eastAsia="宋体" w:cs="宋体"/>
                <w:color w:val="000000"/>
                <w:kern w:val="0"/>
                <w:szCs w:val="21"/>
                <w:lang w:val="en-US" w:eastAsia="zh-CN"/>
              </w:rPr>
              <w:t>工业和信息化项目备案</w:t>
            </w:r>
          </w:p>
        </w:tc>
        <w:tc>
          <w:tcPr>
            <w:tcW w:w="644" w:type="dxa"/>
            <w:tcBorders>
              <w:top w:val="nil"/>
              <w:left w:val="nil"/>
              <w:bottom w:val="single" w:color="auto" w:sz="4" w:space="0"/>
              <w:right w:val="single" w:color="auto" w:sz="4" w:space="0"/>
            </w:tcBorders>
            <w:vAlign w:val="center"/>
          </w:tcPr>
          <w:p>
            <w:pPr>
              <w:widowControl/>
              <w:spacing w:line="540" w:lineRule="exact"/>
              <w:rPr>
                <w:rFonts w:hint="eastAsia" w:ascii="宋体" w:eastAsia="宋体" w:cs="宋体"/>
                <w:color w:val="000000"/>
                <w:kern w:val="0"/>
                <w:szCs w:val="21"/>
                <w:lang w:val="en-US" w:eastAsia="zh-CN"/>
              </w:rPr>
            </w:pPr>
            <w:r>
              <w:rPr>
                <w:rFonts w:hint="eastAsia" w:ascii="宋体" w:eastAsia="宋体" w:cs="宋体"/>
                <w:color w:val="000000"/>
                <w:kern w:val="0"/>
                <w:szCs w:val="21"/>
                <w:lang w:val="en-US" w:eastAsia="zh-CN"/>
              </w:rPr>
              <w:t>其他职权</w:t>
            </w:r>
          </w:p>
        </w:tc>
        <w:tc>
          <w:tcPr>
            <w:tcW w:w="2822" w:type="dxa"/>
            <w:tcBorders>
              <w:top w:val="nil"/>
              <w:left w:val="nil"/>
              <w:bottom w:val="single" w:color="auto" w:sz="4" w:space="0"/>
              <w:right w:val="single" w:color="auto" w:sz="4" w:space="0"/>
            </w:tcBorders>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300" w:lineRule="exact"/>
              <w:ind w:left="0" w:leftChars="0" w:right="0" w:rightChars="0" w:firstLine="0" w:firstLineChars="0"/>
              <w:jc w:val="both"/>
              <w:textAlignment w:val="auto"/>
              <w:outlineLvl w:val="9"/>
              <w:rPr>
                <w:rFonts w:ascii="宋体" w:cs="宋体"/>
                <w:color w:val="000000"/>
                <w:kern w:val="0"/>
                <w:szCs w:val="21"/>
              </w:rPr>
            </w:pPr>
            <w:r>
              <w:rPr>
                <w:rFonts w:hint="eastAsia" w:ascii="仿宋_GB2312" w:hAnsi="仿宋_GB2312" w:eastAsia="仿宋_GB2312" w:cs="仿宋_GB2312"/>
                <w:color w:val="000000"/>
                <w:sz w:val="18"/>
                <w:szCs w:val="18"/>
              </w:rPr>
              <w:t>《河南省企业投资工业和信息化项目备案办法》一、工业和信息化项目备案（以下简称项目备案）的范围、政策依据和实施机关 (一)项目备案的范围对符合下列条件，总投资在100万元以上的拟建工业项目，总投资在50万元以上的拟建信息化项目，实行备案管理：1.除法律法规和国家产业政策另有规定外，《政府核准的投资项目目录》所列范围以外的企业投资项目; (市、区)工业和信息化部门，汴西新区、新乡平原新区、焦作新区、许昌新区管理委员会投资主管部门，产业集聚区管理委员会投资主管部门。</w:t>
            </w:r>
          </w:p>
        </w:tc>
        <w:tc>
          <w:tcPr>
            <w:tcW w:w="1440" w:type="dxa"/>
            <w:tcBorders>
              <w:top w:val="single" w:color="auto" w:sz="4" w:space="0"/>
              <w:left w:val="nil"/>
              <w:bottom w:val="single" w:color="auto" w:sz="4" w:space="0"/>
              <w:right w:val="single" w:color="auto" w:sz="4" w:space="0"/>
            </w:tcBorders>
            <w:vAlign w:val="center"/>
          </w:tcPr>
          <w:p>
            <w:pPr>
              <w:spacing w:line="240" w:lineRule="exact"/>
              <w:rPr>
                <w:rFonts w:hint="eastAsia" w:ascii="宋体" w:cs="宋体" w:eastAsiaTheme="minorEastAsia"/>
                <w:color w:val="000000"/>
                <w:kern w:val="0"/>
                <w:szCs w:val="21"/>
                <w:lang w:eastAsia="zh-CN"/>
              </w:rPr>
            </w:pPr>
          </w:p>
        </w:tc>
        <w:tc>
          <w:tcPr>
            <w:tcW w:w="1170" w:type="dxa"/>
            <w:tcBorders>
              <w:top w:val="nil"/>
              <w:left w:val="nil"/>
              <w:bottom w:val="single" w:color="auto" w:sz="4" w:space="0"/>
              <w:right w:val="single" w:color="auto" w:sz="4" w:space="0"/>
            </w:tcBorders>
            <w:vAlign w:val="center"/>
          </w:tcPr>
          <w:p>
            <w:pPr>
              <w:widowControl/>
              <w:spacing w:line="540" w:lineRule="exact"/>
              <w:rPr>
                <w:rFonts w:hint="eastAsia" w:ascii="宋体" w:eastAsia="宋体" w:cs="宋体"/>
                <w:color w:val="000000"/>
                <w:kern w:val="0"/>
                <w:szCs w:val="21"/>
                <w:lang w:val="en-US" w:eastAsia="zh-CN"/>
              </w:rPr>
            </w:pPr>
          </w:p>
        </w:tc>
        <w:tc>
          <w:tcPr>
            <w:tcW w:w="1858" w:type="dxa"/>
            <w:tcBorders>
              <w:top w:val="nil"/>
              <w:left w:val="nil"/>
              <w:bottom w:val="single" w:color="auto" w:sz="4" w:space="0"/>
              <w:right w:val="single" w:color="auto" w:sz="4" w:space="0"/>
            </w:tcBorders>
            <w:vAlign w:val="center"/>
          </w:tcPr>
          <w:p>
            <w:pPr>
              <w:spacing w:line="240" w:lineRule="exact"/>
              <w:rPr>
                <w:rFonts w:ascii="宋体" w:cs="宋体"/>
                <w:color w:val="000000"/>
                <w:kern w:val="0"/>
                <w:szCs w:val="21"/>
              </w:rPr>
            </w:pPr>
          </w:p>
        </w:tc>
        <w:tc>
          <w:tcPr>
            <w:tcW w:w="1650" w:type="dxa"/>
            <w:tcBorders>
              <w:top w:val="single" w:color="auto" w:sz="4" w:space="0"/>
              <w:left w:val="nil"/>
              <w:bottom w:val="single" w:color="auto" w:sz="4" w:space="0"/>
              <w:right w:val="single" w:color="auto" w:sz="4" w:space="0"/>
            </w:tcBorders>
            <w:vAlign w:val="center"/>
          </w:tcPr>
          <w:p>
            <w:pPr>
              <w:widowControl/>
              <w:spacing w:line="540" w:lineRule="exact"/>
              <w:jc w:val="center"/>
              <w:rPr>
                <w:rFonts w:hint="eastAsia" w:ascii="宋体" w:eastAsia="宋体" w:cs="宋体"/>
                <w:color w:val="000000"/>
                <w:kern w:val="0"/>
                <w:szCs w:val="21"/>
                <w:lang w:val="en-US" w:eastAsia="zh-CN"/>
              </w:rPr>
            </w:pPr>
            <w:r>
              <w:rPr>
                <w:rFonts w:hint="eastAsia" w:ascii="宋体" w:eastAsia="宋体" w:cs="宋体"/>
                <w:color w:val="000000"/>
                <w:kern w:val="0"/>
                <w:szCs w:val="21"/>
                <w:lang w:val="en-US" w:eastAsia="zh-CN"/>
              </w:rPr>
              <w:t>取消</w:t>
            </w:r>
          </w:p>
        </w:tc>
        <w:tc>
          <w:tcPr>
            <w:tcW w:w="3878" w:type="dxa"/>
            <w:tcBorders>
              <w:top w:val="single" w:color="auto" w:sz="4" w:space="0"/>
              <w:left w:val="nil"/>
              <w:bottom w:val="single" w:color="auto" w:sz="4" w:space="0"/>
              <w:right w:val="single" w:color="auto" w:sz="4" w:space="0"/>
            </w:tcBorders>
            <w:vAlign w:val="center"/>
          </w:tcPr>
          <w:p>
            <w:pPr>
              <w:widowControl/>
              <w:spacing w:line="340" w:lineRule="exact"/>
              <w:rPr>
                <w:szCs w:val="21"/>
              </w:rPr>
            </w:pPr>
            <w:r>
              <w:rPr>
                <w:rFonts w:hint="eastAsia" w:ascii="宋体" w:hAnsi="宋体" w:eastAsia="宋体" w:cs="宋体"/>
                <w:b w:val="0"/>
                <w:i w:val="0"/>
                <w:caps w:val="0"/>
                <w:color w:val="333333"/>
                <w:spacing w:val="0"/>
                <w:sz w:val="18"/>
                <w:szCs w:val="18"/>
                <w:shd w:val="clear" w:fill="FFFFFF"/>
              </w:rPr>
              <w:t> 为贯彻落实《企业投资项目核准和备案管理条例》（国令第673号）、《河南省人民政府关于取消调整行政审批项目和部门非行政许可审批事项的决定》（豫政〔2015〕56号）等文件精神，省工业和信息化委决定取消我省工业和信息化项目备案工作职责，关闭我省企业投资工业和信息化项目备案系统。同时，《河南省工业和信息化厅关于印发河南省企业投资工业和信息化项目备案办法的通知》（豫工信〔2010〕633号）和《河南省工业和信息化厅关于赋予省直管试点县（市）企业投资工业和信息化项目备案复核职责的通知》（豫工信规〔2012〕251号）废止。</w:t>
            </w:r>
          </w:p>
        </w:tc>
        <w:tc>
          <w:tcPr>
            <w:tcW w:w="754" w:type="dxa"/>
            <w:tcBorders>
              <w:top w:val="nil"/>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青鸟华光简行草">
    <w:panose1 w:val="02010604000101010101"/>
    <w:charset w:val="86"/>
    <w:family w:val="auto"/>
    <w:pitch w:val="default"/>
    <w:sig w:usb0="00000001" w:usb1="080E0000" w:usb2="00000000" w:usb3="00000000" w:csb0="00040001" w:csb1="00000000"/>
  </w:font>
  <w:font w:name="黑体-简">
    <w:panose1 w:val="02010601040101010101"/>
    <w:charset w:val="86"/>
    <w:family w:val="auto"/>
    <w:pitch w:val="default"/>
    <w:sig w:usb0="F7FFAEFF" w:usb1="F9DFFFFF" w:usb2="0017FDFF" w:usb3="00000000" w:csb0="E03F01FF" w:csb1="BFFF0000"/>
  </w:font>
  <w:font w:name="方正大黑简体">
    <w:panose1 w:val="03000509000000000000"/>
    <w:charset w:val="86"/>
    <w:family w:val="auto"/>
    <w:pitch w:val="default"/>
    <w:sig w:usb0="00000001" w:usb1="080E0000" w:usb2="00000000" w:usb3="00000000" w:csb0="00040000" w:csb1="00000000"/>
  </w:font>
  <w:font w:name="方正大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书体坊赵九江钢笔行书">
    <w:panose1 w:val="03000509000000000000"/>
    <w:charset w:val="86"/>
    <w:family w:val="auto"/>
    <w:pitch w:val="default"/>
    <w:sig w:usb0="00000001" w:usb1="080E0000" w:usb2="00000000" w:usb3="00000000" w:csb0="00040000" w:csb1="00000000"/>
  </w:font>
  <w:font w:name="书体坊米芾体">
    <w:panose1 w:val="02010601030101010101"/>
    <w:charset w:val="86"/>
    <w:family w:val="auto"/>
    <w:pitch w:val="default"/>
    <w:sig w:usb0="00000001" w:usb1="080E0000" w:usb2="00000000" w:usb3="00000000" w:csb0="00040000" w:csb1="00000000"/>
  </w:font>
  <w:font w:name="书体坊硬笔行书3500">
    <w:panose1 w:val="02010601030101010101"/>
    <w:charset w:val="86"/>
    <w:family w:val="auto"/>
    <w:pitch w:val="default"/>
    <w:sig w:usb0="00000003" w:usb1="080E0000" w:usb2="00000000" w:usb3="00000000" w:csb0="00040000" w:csb1="00000000"/>
  </w:font>
  <w:font w:name="书体坊王学勤钢笔行书">
    <w:panose1 w:val="02010601030101010101"/>
    <w:charset w:val="86"/>
    <w:family w:val="auto"/>
    <w:pitch w:val="default"/>
    <w:sig w:usb0="00000001" w:usb1="080E0000" w:usb2="00000000" w:usb3="00000000" w:csb0="00040000" w:csb1="00000000"/>
  </w:font>
  <w:font w:name="书体坊安景臣钢笔行书">
    <w:panose1 w:val="02010601030101010101"/>
    <w:charset w:val="86"/>
    <w:family w:val="auto"/>
    <w:pitch w:val="default"/>
    <w:sig w:usb0="00000001" w:usb1="080E0000" w:usb2="00000000" w:usb3="00000000" w:csb0="00040000" w:csb1="00000000"/>
  </w:font>
  <w:font w:name="中山行书百年纪念版">
    <w:panose1 w:val="02010609000101010101"/>
    <w:charset w:val="86"/>
    <w:family w:val="auto"/>
    <w:pitch w:val="default"/>
    <w:sig w:usb0="800002BF" w:usb1="08476CFA" w:usb2="00000012" w:usb3="00000000" w:csb0="00040000" w:csb1="00000000"/>
  </w:font>
  <w:font w:name="中國龍金石篆">
    <w:panose1 w:val="02010609000101010101"/>
    <w:charset w:val="00"/>
    <w:family w:val="auto"/>
    <w:pitch w:val="default"/>
    <w:sig w:usb0="00000000" w:usb1="00000000" w:usb2="00000000" w:usb3="00000000" w:csb0="00000000" w:csb1="00000000"/>
  </w:font>
  <w:font w:name="中國龍瑩篆體">
    <w:panose1 w:val="02010609000101010101"/>
    <w:charset w:val="00"/>
    <w:family w:val="auto"/>
    <w:pitch w:val="default"/>
    <w:sig w:usb0="00000000" w:usb1="00000000" w:usb2="00000000" w:usb3="00000000" w:csb0="00000000" w:csb1="00000000"/>
  </w:font>
  <w:font w:name="万花哥特体繁">
    <w:panose1 w:val="02010604000101010101"/>
    <w:charset w:val="86"/>
    <w:family w:val="auto"/>
    <w:pitch w:val="default"/>
    <w:sig w:usb0="00000001" w:usb1="080E0800" w:usb2="00000002" w:usb3="00000000" w:csb0="00040000" w:csb1="00000000"/>
  </w:font>
  <w:font w:name="你是我的小叶子">
    <w:panose1 w:val="00020600040101010101"/>
    <w:charset w:val="86"/>
    <w:family w:val="auto"/>
    <w:pitch w:val="default"/>
    <w:sig w:usb0="A00002BF" w:usb1="18EF7CFA" w:usb2="00000016" w:usb3="00000000" w:csb0="00040000" w:csb1="00000000"/>
  </w:font>
  <w:font w:name="体坛超黑简体">
    <w:panose1 w:val="03000509000000000000"/>
    <w:charset w:val="86"/>
    <w:family w:val="auto"/>
    <w:pitch w:val="default"/>
    <w:sig w:usb0="00000001" w:usb1="080E0000" w:usb2="00000000" w:usb3="00000000" w:csb0="00040000" w:csb1="00000000"/>
  </w:font>
  <w:font w:name="体坛粗黑简体">
    <w:panose1 w:val="03000509000000000000"/>
    <w:charset w:val="86"/>
    <w:family w:val="auto"/>
    <w:pitch w:val="default"/>
    <w:sig w:usb0="00000001" w:usb1="080E0000" w:usb2="00000000" w:usb3="00000000" w:csb0="00040000" w:csb1="00000000"/>
  </w:font>
  <w:font w:name="今昔豪龙">
    <w:panose1 w:val="02000503000000000000"/>
    <w:charset w:val="80"/>
    <w:family w:val="auto"/>
    <w:pitch w:val="default"/>
    <w:sig w:usb0="80000283" w:usb1="08C76CF8" w:usb2="00000010" w:usb3="00000000" w:csb0="00020001" w:csb1="00000000"/>
  </w:font>
  <w:font w:name="书体坊郭小语钢笔楷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Adobe 黑体 Std R">
    <w:altName w:val="黑体"/>
    <w:panose1 w:val="020B0400000000000000"/>
    <w:charset w:val="86"/>
    <w:family w:val="swiss"/>
    <w:pitch w:val="default"/>
    <w:sig w:usb0="00000000" w:usb1="00000000" w:usb2="00000016" w:usb3="00000000" w:csb0="00060007"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monospace">
    <w:altName w:val="宋体"/>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E15"/>
    <w:rsid w:val="002667C4"/>
    <w:rsid w:val="004929BF"/>
    <w:rsid w:val="004E73C6"/>
    <w:rsid w:val="00594C95"/>
    <w:rsid w:val="006279D4"/>
    <w:rsid w:val="00667F72"/>
    <w:rsid w:val="00673F85"/>
    <w:rsid w:val="00A66E15"/>
    <w:rsid w:val="00BF5FE7"/>
    <w:rsid w:val="00E5790F"/>
    <w:rsid w:val="00F20927"/>
    <w:rsid w:val="03AB727C"/>
    <w:rsid w:val="10317684"/>
    <w:rsid w:val="16D63104"/>
    <w:rsid w:val="291C49FE"/>
    <w:rsid w:val="36320571"/>
    <w:rsid w:val="4AE732C6"/>
    <w:rsid w:val="4C0508AB"/>
    <w:rsid w:val="56CE069A"/>
    <w:rsid w:val="570955E4"/>
    <w:rsid w:val="5FD76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119</Words>
  <Characters>682</Characters>
  <Lines>5</Lines>
  <Paragraphs>1</Paragraphs>
  <ScaleCrop>false</ScaleCrop>
  <LinksUpToDate>false</LinksUpToDate>
  <CharactersWithSpaces>800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2017-08-02T08:59:00Z</dcterms:created>
  <dc:creator>微软用户</dc:creator>
  <cp:lastModifiedBy>Administrator</cp:lastModifiedBy>
  <cp:lastPrinted>2017-08-04T11:47:00Z</cp:lastPrinted>
  <dcterms:modified xsi:type="dcterms:W3CDTF">2017-08-07T09:23:32Z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